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85" w:rsidRDefault="00756885" w:rsidP="00756885">
      <w:pPr>
        <w:autoSpaceDE w:val="0"/>
        <w:autoSpaceDN w:val="0"/>
        <w:adjustRightInd w:val="0"/>
        <w:spacing w:after="0" w:line="240" w:lineRule="auto"/>
        <w:jc w:val="center"/>
        <w:outlineLvl w:val="0"/>
        <w:rPr>
          <w:rFonts w:ascii="Times New Roman" w:hAnsi="Times New Roman" w:cs="Times New Roman"/>
          <w:bCs/>
          <w:sz w:val="28"/>
          <w:szCs w:val="28"/>
        </w:rPr>
      </w:pPr>
      <w:bookmarkStart w:id="0" w:name="_GoBack"/>
      <w:bookmarkEnd w:id="0"/>
      <w:r w:rsidRPr="005C5AC8">
        <w:rPr>
          <w:rFonts w:ascii="Times New Roman" w:hAnsi="Times New Roman" w:cs="Times New Roman"/>
          <w:bCs/>
          <w:sz w:val="28"/>
          <w:szCs w:val="28"/>
        </w:rPr>
        <w:t>Составляющие платы за жилое помещение и коммунальные услуги</w:t>
      </w:r>
    </w:p>
    <w:p w:rsidR="00756885" w:rsidRPr="002008E7" w:rsidRDefault="00756885" w:rsidP="00756885">
      <w:pPr>
        <w:shd w:val="clear" w:color="auto" w:fill="FFFFFF"/>
        <w:spacing w:after="0" w:line="240" w:lineRule="auto"/>
        <w:jc w:val="center"/>
        <w:outlineLvl w:val="0"/>
        <w:rPr>
          <w:rFonts w:ascii="Times New Roman" w:eastAsia="Times New Roman" w:hAnsi="Times New Roman" w:cs="Times New Roman"/>
          <w:kern w:val="36"/>
          <w:sz w:val="28"/>
          <w:szCs w:val="28"/>
        </w:rPr>
      </w:pPr>
    </w:p>
    <w:p w:rsidR="00756885" w:rsidRDefault="00756885" w:rsidP="007568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Плата за жилое помещение и коммунальные услуги включает (</w:t>
      </w:r>
      <w:hyperlink r:id="rId4" w:history="1">
        <w:r>
          <w:rPr>
            <w:rFonts w:ascii="Times New Roman" w:hAnsi="Times New Roman" w:cs="Times New Roman"/>
            <w:color w:val="0000FF"/>
            <w:sz w:val="28"/>
            <w:szCs w:val="28"/>
          </w:rPr>
          <w:t>ст. 154</w:t>
        </w:r>
      </w:hyperlink>
      <w:r>
        <w:rPr>
          <w:rFonts w:ascii="Times New Roman" w:hAnsi="Times New Roman" w:cs="Times New Roman"/>
          <w:sz w:val="28"/>
          <w:szCs w:val="28"/>
        </w:rPr>
        <w:t xml:space="preserve"> ЖК РФ):</w:t>
      </w:r>
    </w:p>
    <w:p w:rsidR="00756885" w:rsidRDefault="00756885" w:rsidP="007568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плату за содержание жилого помещения, включающую в себя плату за услуги, работы по управлению многоквартирным домом (далее - МКД), за содержание и текущий ремонт общего имущества в МКД, а также за коммунальные ресурсы, потребляемые при использовании и содержании общего имущества в МКД;</w:t>
      </w:r>
    </w:p>
    <w:p w:rsidR="00756885" w:rsidRDefault="00756885" w:rsidP="007568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плату за коммунальные услуги, включающую в себя плату за холодную и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756885" w:rsidRDefault="00756885" w:rsidP="007568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плату за жилое помещение для нанимателя дополнительно включается плата за пользование жилым помещением (плата за наем). При этом капитальный ремонт общего имущества в МКД проводится за счет собственника жилищного фонда (</w:t>
      </w:r>
      <w:hyperlink r:id="rId5" w:history="1">
        <w:r>
          <w:rPr>
            <w:rFonts w:ascii="Times New Roman" w:hAnsi="Times New Roman" w:cs="Times New Roman"/>
            <w:color w:val="0000FF"/>
            <w:sz w:val="28"/>
            <w:szCs w:val="28"/>
          </w:rPr>
          <w:t>п. п. 1</w:t>
        </w:r>
      </w:hyperlink>
      <w:r>
        <w:rPr>
          <w:rFonts w:ascii="Times New Roman" w:hAnsi="Times New Roman" w:cs="Times New Roman"/>
          <w:sz w:val="28"/>
          <w:szCs w:val="28"/>
        </w:rPr>
        <w:t xml:space="preserve">, </w:t>
      </w:r>
      <w:hyperlink r:id="rId6" w:history="1">
        <w:r>
          <w:rPr>
            <w:rFonts w:ascii="Times New Roman" w:hAnsi="Times New Roman" w:cs="Times New Roman"/>
            <w:color w:val="0000FF"/>
            <w:sz w:val="28"/>
            <w:szCs w:val="28"/>
          </w:rPr>
          <w:t>2 ч. 1 ст. 154</w:t>
        </w:r>
      </w:hyperlink>
      <w:r>
        <w:rPr>
          <w:rFonts w:ascii="Times New Roman" w:hAnsi="Times New Roman" w:cs="Times New Roman"/>
          <w:sz w:val="28"/>
          <w:szCs w:val="28"/>
        </w:rPr>
        <w:t xml:space="preserve"> ЖК РФ).</w:t>
      </w:r>
    </w:p>
    <w:p w:rsidR="00756885" w:rsidRDefault="00756885" w:rsidP="007568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Обратите внимание!</w:t>
      </w:r>
      <w:r>
        <w:rPr>
          <w:rFonts w:ascii="Times New Roman" w:hAnsi="Times New Roman" w:cs="Times New Roman"/>
          <w:sz w:val="28"/>
          <w:szCs w:val="28"/>
        </w:rPr>
        <w:t xml:space="preserve"> Несоблюдение письменной формы договора социального найма жилого помещения не освобождает нанимателя от обязанности по внесению платы за жилое помещение и коммунальные услуги (</w:t>
      </w:r>
      <w:hyperlink r:id="rId7" w:history="1">
        <w:r>
          <w:rPr>
            <w:rFonts w:ascii="Times New Roman" w:hAnsi="Times New Roman" w:cs="Times New Roman"/>
            <w:color w:val="0000FF"/>
            <w:sz w:val="28"/>
            <w:szCs w:val="28"/>
          </w:rPr>
          <w:t>п. 23</w:t>
        </w:r>
      </w:hyperlink>
      <w:r>
        <w:rPr>
          <w:rFonts w:ascii="Times New Roman" w:hAnsi="Times New Roman" w:cs="Times New Roman"/>
          <w:sz w:val="28"/>
          <w:szCs w:val="28"/>
        </w:rPr>
        <w:t xml:space="preserve"> Постановления Пленума Верховного Суда РФ от 27.06.2017 N 22).</w:t>
      </w:r>
    </w:p>
    <w:p w:rsidR="00756885" w:rsidRDefault="00756885" w:rsidP="007568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 плату за наем жилого помещения и плату за коммунальные услуги (</w:t>
      </w:r>
      <w:hyperlink r:id="rId8" w:history="1">
        <w:r>
          <w:rPr>
            <w:rFonts w:ascii="Times New Roman" w:hAnsi="Times New Roman" w:cs="Times New Roman"/>
            <w:color w:val="0000FF"/>
            <w:sz w:val="28"/>
            <w:szCs w:val="28"/>
          </w:rPr>
          <w:t>ч. 1.1 ст. 154</w:t>
        </w:r>
      </w:hyperlink>
      <w:r>
        <w:rPr>
          <w:rFonts w:ascii="Times New Roman" w:hAnsi="Times New Roman" w:cs="Times New Roman"/>
          <w:sz w:val="28"/>
          <w:szCs w:val="28"/>
        </w:rPr>
        <w:t xml:space="preserve">, </w:t>
      </w:r>
      <w:hyperlink r:id="rId9" w:history="1">
        <w:r>
          <w:rPr>
            <w:rFonts w:ascii="Times New Roman" w:hAnsi="Times New Roman" w:cs="Times New Roman"/>
            <w:color w:val="0000FF"/>
            <w:sz w:val="28"/>
            <w:szCs w:val="28"/>
          </w:rPr>
          <w:t>ст. 156.1</w:t>
        </w:r>
      </w:hyperlink>
      <w:r>
        <w:rPr>
          <w:rFonts w:ascii="Times New Roman" w:hAnsi="Times New Roman" w:cs="Times New Roman"/>
          <w:sz w:val="28"/>
          <w:szCs w:val="28"/>
        </w:rPr>
        <w:t xml:space="preserve"> ЖК РФ).</w:t>
      </w:r>
    </w:p>
    <w:p w:rsidR="00756885" w:rsidRDefault="00756885" w:rsidP="007568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плату за жилое помещение для собственника помещения дополнительно включается взнос на капитальный ремонт. При этом следует учитывать, что для ряда категорий граждан предусматривается компенсация расходов на уплату взноса на капитальный ремонт (</w:t>
      </w:r>
      <w:hyperlink r:id="rId10" w:history="1">
        <w:r>
          <w:rPr>
            <w:rFonts w:ascii="Times New Roman" w:hAnsi="Times New Roman" w:cs="Times New Roman"/>
            <w:color w:val="0000FF"/>
            <w:sz w:val="28"/>
            <w:szCs w:val="28"/>
          </w:rPr>
          <w:t>п. 2 ч. 2 ст. 154</w:t>
        </w:r>
      </w:hyperlink>
      <w:r>
        <w:rPr>
          <w:rFonts w:ascii="Times New Roman" w:hAnsi="Times New Roman" w:cs="Times New Roman"/>
          <w:sz w:val="28"/>
          <w:szCs w:val="28"/>
        </w:rPr>
        <w:t xml:space="preserve">, </w:t>
      </w:r>
      <w:hyperlink r:id="rId11" w:history="1">
        <w:r>
          <w:rPr>
            <w:rFonts w:ascii="Times New Roman" w:hAnsi="Times New Roman" w:cs="Times New Roman"/>
            <w:color w:val="0000FF"/>
            <w:sz w:val="28"/>
            <w:szCs w:val="28"/>
          </w:rPr>
          <w:t>ч. 2.1 ст. 169</w:t>
        </w:r>
      </w:hyperlink>
      <w:r>
        <w:rPr>
          <w:rFonts w:ascii="Times New Roman" w:hAnsi="Times New Roman" w:cs="Times New Roman"/>
          <w:sz w:val="28"/>
          <w:szCs w:val="28"/>
        </w:rPr>
        <w:t xml:space="preserve"> ЖК РФ; </w:t>
      </w:r>
      <w:hyperlink r:id="rId12" w:history="1">
        <w:r>
          <w:rPr>
            <w:rFonts w:ascii="Times New Roman" w:hAnsi="Times New Roman" w:cs="Times New Roman"/>
            <w:color w:val="0000FF"/>
            <w:sz w:val="28"/>
            <w:szCs w:val="28"/>
          </w:rPr>
          <w:t>ч. 14 ст. 17</w:t>
        </w:r>
      </w:hyperlink>
      <w:r>
        <w:rPr>
          <w:rFonts w:ascii="Times New Roman" w:hAnsi="Times New Roman" w:cs="Times New Roman"/>
          <w:sz w:val="28"/>
          <w:szCs w:val="28"/>
        </w:rPr>
        <w:t xml:space="preserve"> Закона от 24.11.1995 N 181-ФЗ).</w:t>
      </w:r>
    </w:p>
    <w:p w:rsidR="00756885" w:rsidRDefault="00756885" w:rsidP="007568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плату за жилое помещение также может включаться абонентская плата за услуги связи для целей телевещания, установленная на основании письменного договора на оказание услуг связи, заключаемого с абонентом (владельцем помещения в МКД). Если абонентская плата за услуги связи включена в единый платежный документ в отсутствие такого договора, собственник (наниматель) помещения вправе требовать ее исключения из единого платежного документа и не оплачивать услуги, которыми он не пользуется (</w:t>
      </w:r>
      <w:hyperlink r:id="rId13" w:history="1">
        <w:r>
          <w:rPr>
            <w:rFonts w:ascii="Times New Roman" w:hAnsi="Times New Roman" w:cs="Times New Roman"/>
            <w:color w:val="0000FF"/>
            <w:sz w:val="28"/>
            <w:szCs w:val="28"/>
          </w:rPr>
          <w:t>п. п. 12</w:t>
        </w:r>
      </w:hyperlink>
      <w:r>
        <w:rPr>
          <w:rFonts w:ascii="Times New Roman" w:hAnsi="Times New Roman" w:cs="Times New Roman"/>
          <w:sz w:val="28"/>
          <w:szCs w:val="28"/>
        </w:rPr>
        <w:t xml:space="preserve">, </w:t>
      </w:r>
      <w:hyperlink r:id="rId14" w:history="1">
        <w:r>
          <w:rPr>
            <w:rFonts w:ascii="Times New Roman" w:hAnsi="Times New Roman" w:cs="Times New Roman"/>
            <w:color w:val="0000FF"/>
            <w:sz w:val="28"/>
            <w:szCs w:val="28"/>
          </w:rPr>
          <w:t>26</w:t>
        </w:r>
      </w:hyperlink>
      <w:r>
        <w:rPr>
          <w:rFonts w:ascii="Times New Roman" w:hAnsi="Times New Roman" w:cs="Times New Roman"/>
          <w:sz w:val="28"/>
          <w:szCs w:val="28"/>
        </w:rPr>
        <w:t xml:space="preserve"> Правил, утв. Постановлением Правительства РФ от 22.12.2006 N 785; </w:t>
      </w:r>
      <w:hyperlink r:id="rId15" w:history="1">
        <w:r>
          <w:rPr>
            <w:rFonts w:ascii="Times New Roman" w:hAnsi="Times New Roman" w:cs="Times New Roman"/>
            <w:color w:val="0000FF"/>
            <w:sz w:val="28"/>
            <w:szCs w:val="28"/>
          </w:rPr>
          <w:t>Письмо</w:t>
        </w:r>
      </w:hyperlink>
      <w:r>
        <w:rPr>
          <w:rFonts w:ascii="Times New Roman" w:hAnsi="Times New Roman" w:cs="Times New Roman"/>
          <w:sz w:val="28"/>
          <w:szCs w:val="28"/>
        </w:rPr>
        <w:t xml:space="preserve"> Минстроя России от 13.07.2016 N 21928-АЧ/04).</w:t>
      </w:r>
    </w:p>
    <w:p w:rsidR="00756885" w:rsidRDefault="00756885" w:rsidP="0075688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Готовил: Помощник прокурора Октябрьского района Петина Д.К.</w:t>
      </w:r>
    </w:p>
    <w:p w:rsidR="008543A2" w:rsidRPr="00756885" w:rsidRDefault="008543A2" w:rsidP="00756885">
      <w:pPr>
        <w:spacing w:after="0" w:line="240" w:lineRule="auto"/>
        <w:jc w:val="right"/>
        <w:rPr>
          <w:rFonts w:ascii="Times New Roman" w:hAnsi="Times New Roman" w:cs="Times New Roman"/>
          <w:sz w:val="28"/>
          <w:szCs w:val="28"/>
        </w:rPr>
      </w:pPr>
    </w:p>
    <w:sectPr w:rsidR="008543A2" w:rsidRPr="007568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useFELayout/>
  </w:compat>
  <w:rsids>
    <w:rsidRoot w:val="00756885"/>
    <w:rsid w:val="00756885"/>
    <w:rsid w:val="00854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D176C39FD64F737F99FEEBA88FBB346CA7790D23ED6C332119BD45673A672D08B44E2EED247B744F3B5534AFDB1A0A35924BE704F7E24CBBIFF" TargetMode="External"/><Relationship Id="rId13" Type="http://schemas.openxmlformats.org/officeDocument/2006/relationships/hyperlink" Target="consultantplus://offline/ref=35D176C39FD64F737F99FEEBA88FBB346EAA79082AEF6C332119BD45673A672D08B44E2EED257F704D3B5534AFDB1A0A35924BE704F7E24CBBIFF" TargetMode="External"/><Relationship Id="rId3" Type="http://schemas.openxmlformats.org/officeDocument/2006/relationships/webSettings" Target="webSettings.xml"/><Relationship Id="rId7" Type="http://schemas.openxmlformats.org/officeDocument/2006/relationships/hyperlink" Target="consultantplus://offline/ref=35D176C39FD64F737F99FEEBA88FBB346DA2720421EA6C332119BD45673A672D08B44E2EED257F70483B5534AFDB1A0A35924BE704F7E24CBBIFF" TargetMode="External"/><Relationship Id="rId12" Type="http://schemas.openxmlformats.org/officeDocument/2006/relationships/hyperlink" Target="consultantplus://offline/ref=35D176C39FD64F737F99FEEBA88FBB346CA7780924EF6C332119BD45673A672D08B44E2EED257C724B3B5534AFDB1A0A35924BE704F7E24CBBIF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D176C39FD64F737F99FEEBA88FBB346CA7790D23ED6C332119BD45673A672D08B44E2EED247B7D403B5534AFDB1A0A35924BE704F7E24CBBIFF" TargetMode="External"/><Relationship Id="rId11" Type="http://schemas.openxmlformats.org/officeDocument/2006/relationships/hyperlink" Target="consultantplus://offline/ref=35D176C39FD64F737F99FEEBA88FBB346CA7790D23ED6C332119BD45673A672D08B44E29EF27742119745468E9890908359249E018BFI5F" TargetMode="External"/><Relationship Id="rId5" Type="http://schemas.openxmlformats.org/officeDocument/2006/relationships/hyperlink" Target="consultantplus://offline/ref=35D176C39FD64F737F99FEEBA88FBB346CA7790D23ED6C332119BD45673A672D08B44E2EED2576754A3B5534AFDB1A0A35924BE704F7E24CBBIFF" TargetMode="External"/><Relationship Id="rId15" Type="http://schemas.openxmlformats.org/officeDocument/2006/relationships/hyperlink" Target="consultantplus://offline/ref=35D176C39FD64F737F99FEEBA88FBB346DA37E0820EA6C332119BD45673A672D08B44E2EED257F744E3B5534AFDB1A0A35924BE704F7E24CBBIFF" TargetMode="External"/><Relationship Id="rId10" Type="http://schemas.openxmlformats.org/officeDocument/2006/relationships/hyperlink" Target="consultantplus://offline/ref=35D176C39FD64F737F99FEEBA88FBB346CA7790D23ED6C332119BD45673A672D08B44E2EE52C742119745468E9890908359249E018BFI5F" TargetMode="External"/><Relationship Id="rId4" Type="http://schemas.openxmlformats.org/officeDocument/2006/relationships/hyperlink" Target="consultantplus://offline/ref=35D176C39FD64F737F99FEEBA88FBB346CA7790D23ED6C332119BD45673A672D08B44E2EED257675483B5534AFDB1A0A35924BE704F7E24CBBIFF" TargetMode="External"/><Relationship Id="rId9" Type="http://schemas.openxmlformats.org/officeDocument/2006/relationships/hyperlink" Target="consultantplus://offline/ref=35D176C39FD64F737F99FEEBA88FBB346CA7790D23ED6C332119BD45673A672D08B44E2EED247B76483B5534AFDB1A0A35924BE704F7E24CBBIFF" TargetMode="External"/><Relationship Id="rId14" Type="http://schemas.openxmlformats.org/officeDocument/2006/relationships/hyperlink" Target="consultantplus://offline/ref=35D176C39FD64F737F99FEEBA88FBB346EAA79082AEF6C332119BD45673A672D08B44E2EED257E754A3B5534AFDB1A0A35924BE704F7E24CBBI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2020-07-29T01:34:00Z</dcterms:created>
  <dcterms:modified xsi:type="dcterms:W3CDTF">2020-07-29T01:34:00Z</dcterms:modified>
</cp:coreProperties>
</file>